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SI-SAMU-GRAVITE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niveau de soins : le plus grave est retenu pour qualifier le dossier/affaire. Pour chaque patient/victime, le motif spécifique est indiqué.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R1</w:t>
            </w:r>
          </w:p>
        </w:tc>
        <w:tc>
          <w:tcPr>
            <w:tcW w:type="dxa" w:w="1440"/>
          </w:tcPr>
          <w:p>
            <w:r>
              <w:t>Urgence Vitale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vitale patente ou latente imposant l’envoi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R2</w:t>
            </w:r>
          </w:p>
        </w:tc>
        <w:tc>
          <w:tcPr>
            <w:tcW w:type="dxa" w:w="1440"/>
          </w:tcPr>
          <w:p>
            <w:r>
              <w:t>Urgence vraie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vraie sans détresse vitale nécessitant l’envoi d’un médecin, d’une ambulance ou d’un VSAV. Le délai d’intervention est immédiat par défaut ou contractualisé entre le médecin régulateur et le requérant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R3</w:t>
            </w:r>
          </w:p>
        </w:tc>
        <w:tc>
          <w:tcPr>
            <w:tcW w:type="dxa" w:w="1440"/>
          </w:tcPr>
          <w:p>
            <w:r>
              <w:t>Continuité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relevant de la continuité de soins. Le délai ne constituant pas un facteur de risque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R4</w:t>
            </w:r>
          </w:p>
        </w:tc>
        <w:tc>
          <w:tcPr>
            <w:tcW w:type="dxa" w:w="1440"/>
          </w:tcPr>
          <w:p>
            <w:r>
              <w:t>Conseil ou PMT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pouvant être traitée par un conseil médical ou prescription médicamenteuse par téléphone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64236A-0960-4434-8D51-43D95E2EBDD8}"/>
</file>

<file path=customXml/itemProps3.xml><?xml version="1.0" encoding="utf-8"?>
<ds:datastoreItem xmlns:ds="http://schemas.openxmlformats.org/officeDocument/2006/customXml" ds:itemID="{4269F1B2-6FD8-4B9F-A751-0B530CE2B16D}"/>
</file>

<file path=customXml/itemProps4.xml><?xml version="1.0" encoding="utf-8"?>
<ds:datastoreItem xmlns:ds="http://schemas.openxmlformats.org/officeDocument/2006/customXml" ds:itemID="{AE73A255-F04A-4458-8961-6A79471A7F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